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right="640" w:firstLine="0" w:firstLineChars="0"/>
        <w:rPr>
          <w:rFonts w:hint="eastAsia" w:ascii="黑体" w:eastAsia="黑体" w:cs="方正小标宋简体"/>
          <w:bCs/>
          <w:sz w:val="28"/>
          <w:szCs w:val="28"/>
        </w:rPr>
      </w:pPr>
      <w:r>
        <w:rPr>
          <w:rFonts w:hint="eastAsia" w:ascii="黑体" w:eastAsia="黑体" w:cs="方正小标宋简体"/>
          <w:bCs/>
          <w:sz w:val="28"/>
          <w:szCs w:val="28"/>
        </w:rPr>
        <w:t>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0" w:firstLine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cs="方正小标宋简体"/>
          <w:b/>
          <w:bCs/>
          <w:sz w:val="28"/>
          <w:szCs w:val="28"/>
        </w:rPr>
        <w:t>20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</w:rPr>
        <w:t>年温州市瓯飞开发建设投资集团有限公司及下属二级公司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  <w:lang w:eastAsia="zh-CN"/>
        </w:rPr>
        <w:t>面向社会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</w:rPr>
        <w:t>公开招聘工作人员计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  <w:lang w:eastAsia="zh-CN"/>
        </w:rPr>
        <w:t>划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</w:rPr>
        <w:t>表</w:t>
      </w:r>
    </w:p>
    <w:p>
      <w:pPr>
        <w:pStyle w:val="4"/>
        <w:spacing w:line="360" w:lineRule="auto"/>
        <w:ind w:right="640" w:firstLine="0" w:firstLineChars="0"/>
        <w:jc w:val="center"/>
        <w:rPr>
          <w:rFonts w:hint="eastAsia" w:ascii="仿宋_GB2312" w:eastAsia="方正小标宋简体" w:cs="Times New Roman"/>
          <w:sz w:val="28"/>
          <w:szCs w:val="28"/>
          <w:lang w:eastAsia="zh-CN"/>
        </w:rPr>
      </w:pPr>
    </w:p>
    <w:tbl>
      <w:tblPr>
        <w:tblStyle w:val="3"/>
        <w:tblW w:w="128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62"/>
        <w:gridCol w:w="730"/>
        <w:gridCol w:w="1620"/>
        <w:gridCol w:w="1545"/>
        <w:gridCol w:w="3052"/>
        <w:gridCol w:w="972"/>
        <w:gridCol w:w="2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岗位代码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                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名称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                  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招聘人数</w:t>
            </w:r>
          </w:p>
        </w:tc>
        <w:tc>
          <w:tcPr>
            <w:tcW w:w="9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格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条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龄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户籍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  <w:t>01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资产经营管理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房地产开发与管理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120104）</w:t>
            </w:r>
            <w:r>
              <w:rPr>
                <w:rFonts w:hint="default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房地产经营管理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110106W）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02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投融资管理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金融学（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020301K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工程管理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道路桥梁与渡河工程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081006T）</w:t>
            </w:r>
            <w:r>
              <w:rPr>
                <w:rFonts w:hint="eastAsia" w:ascii="仿宋_GB2312" w:eastAsia="仿宋_GB2312" w:cs="仿宋_GB2312"/>
                <w:sz w:val="24"/>
              </w:rPr>
              <w:t>、给排水科学与工程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081003）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04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养殖管理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海洋渔业科学与技术（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090602）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05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财会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会计学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120203K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sz w:val="24"/>
              </w:rPr>
              <w:t>、财务管理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</w:rPr>
              <w:t>120204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06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人力资源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人力资源管理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120206）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120403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、劳动关系（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120211T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07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文旅策划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旅游管理（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120901K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）、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旅游管理与服务教育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120904T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08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工程消防管理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 w:bidi="ar"/>
              </w:rPr>
              <w:t>土木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bidi="ar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 w:bidi="ar"/>
              </w:rPr>
              <w:t>081001）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建筑学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082801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、建筑电气与智能化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val="en-US" w:eastAsia="zh-CN" w:bidi="ar"/>
              </w:rPr>
              <w:t>081004）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、</w:t>
            </w:r>
            <w:r>
              <w:rPr>
                <w:rFonts w:hint="eastAsia" w:ascii="仿宋_GB2312" w:eastAsia="仿宋_GB2312" w:cs="仿宋_GB2312"/>
                <w:sz w:val="24"/>
              </w:rPr>
              <w:t>给排水科学与工程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081003）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消防工程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083102K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bidi="ar"/>
              </w:rPr>
              <w:t>、火灾勘查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083107TK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09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计算机类（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val="en-US" w:eastAsia="zh-CN" w:bidi="ar"/>
              </w:rPr>
              <w:t>0809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198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全日制普通高校大学本科及以上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none"/>
                <w:lang w:eastAsia="zh-CN" w:bidi="ar"/>
              </w:rPr>
              <w:t>法学（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030101K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温州市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</w:tc>
      </w:tr>
    </w:tbl>
    <w:p>
      <w:pPr>
        <w:pStyle w:val="4"/>
        <w:spacing w:line="360" w:lineRule="auto"/>
        <w:ind w:right="640" w:firstLine="0" w:firstLineChars="0"/>
        <w:rPr>
          <w:rFonts w:hint="eastAsia" w:ascii="黑体" w:eastAsia="黑体" w:cs="方正小标宋简体"/>
          <w:bCs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kadmin</cp:lastModifiedBy>
  <dcterms:modified xsi:type="dcterms:W3CDTF">2020-07-15T07:09:30Z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